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6"/>
        <w:gridCol w:w="5216"/>
        <w:tblGridChange w:id="0">
          <w:tblGrid>
            <w:gridCol w:w="5216"/>
            <w:gridCol w:w="5216"/>
          </w:tblGrid>
        </w:tblGridChange>
      </w:tblGrid>
      <w:tr>
        <w:trPr>
          <w:trHeight w:val="42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Participants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Pilote de réunion</w:t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Rédact·eur·rice du rapport</w:t>
            </w:r>
          </w:p>
        </w:tc>
        <w:tc>
          <w:tcPr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Ordre de réunion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Compte rendu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Synthèse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Prochaine étape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righ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color w:val="073763"/>
          <w:sz w:val="16"/>
          <w:szCs w:val="16"/>
        </w:rPr>
      </w:pPr>
      <w:r w:rsidDel="00000000" w:rsidR="00000000" w:rsidRPr="00000000">
        <w:rPr>
          <w:color w:val="073763"/>
          <w:sz w:val="16"/>
          <w:szCs w:val="16"/>
          <w:rtl w:val="0"/>
        </w:rPr>
        <w:t xml:space="preserve">Organilog</w:t>
      </w:r>
    </w:p>
    <w:sectPr>
      <w:pgSz w:h="16838" w:w="11906"/>
      <w:pgMar w:bottom="566.9291338582677" w:top="566.9291338582677" w:left="737.0078740157481" w:right="737.00787401574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